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郑州铁路职业技术学院电子工程学院关于</w:t>
      </w:r>
      <w:bookmarkStart w:id="0" w:name="_GoBack"/>
      <w:bookmarkEnd w:id="0"/>
      <w:r>
        <w:rPr>
          <w:rFonts w:hint="eastAsia" w:ascii="黑体" w:hAnsi="黑体" w:eastAsia="黑体" w:cs="黑体"/>
          <w:b/>
          <w:bCs/>
          <w:sz w:val="30"/>
          <w:szCs w:val="30"/>
          <w:lang w:val="en-US" w:eastAsia="zh-CN"/>
        </w:rPr>
        <w:t>铁道信号自动控制专业教学资源库项目网站应用对接服务招标要求</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按照教育部《职业教育专业教学资源库建设指南》年度监测指标有关要求和《河南省教育厅办公室关于开展2025年省级职业教育专业教学资源库立项申报和2020、2021年省级职业教育专业教学资源库评审验收工作的通知》的有关要求，在确保铁道信号自动控制专业教学资源库正在运营的情况下，需完成以下任务：</w:t>
      </w:r>
      <w:r>
        <w:rPr>
          <w:rFonts w:hint="eastAsia" w:ascii="仿宋_GB2312" w:hAnsi="仿宋_GB2312" w:eastAsia="仿宋_GB2312" w:cs="仿宋_GB2312"/>
          <w:kern w:val="0"/>
          <w:sz w:val="28"/>
          <w:szCs w:val="28"/>
          <w:lang w:val="en-US" w:eastAsia="zh-CN"/>
        </w:rPr>
        <w:br w:type="textWrapping"/>
      </w:r>
    </w:p>
    <w:tbl>
      <w:tblPr>
        <w:tblStyle w:val="5"/>
        <w:tblW w:w="84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485"/>
        <w:gridCol w:w="4350"/>
        <w:gridCol w:w="958"/>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jc w:val="center"/>
              <w:rPr>
                <w:rFonts w:hint="default"/>
                <w:sz w:val="24"/>
                <w:szCs w:val="24"/>
                <w:vertAlign w:val="baseline"/>
                <w:lang w:val="en-US" w:eastAsia="zh-CN"/>
              </w:rPr>
            </w:pPr>
            <w:r>
              <w:rPr>
                <w:rFonts w:hint="eastAsia"/>
                <w:sz w:val="24"/>
                <w:szCs w:val="24"/>
                <w:vertAlign w:val="baseline"/>
                <w:lang w:val="en-US" w:eastAsia="zh-CN"/>
              </w:rPr>
              <w:t>序号</w:t>
            </w:r>
          </w:p>
        </w:tc>
        <w:tc>
          <w:tcPr>
            <w:tcW w:w="1485" w:type="dxa"/>
          </w:tcPr>
          <w:p>
            <w:pPr>
              <w:jc w:val="center"/>
              <w:rPr>
                <w:rFonts w:hint="default"/>
                <w:sz w:val="24"/>
                <w:szCs w:val="24"/>
                <w:vertAlign w:val="baseline"/>
                <w:lang w:val="en-US" w:eastAsia="zh-CN"/>
              </w:rPr>
            </w:pPr>
            <w:r>
              <w:rPr>
                <w:rFonts w:hint="eastAsia"/>
                <w:sz w:val="24"/>
                <w:szCs w:val="24"/>
                <w:vertAlign w:val="baseline"/>
                <w:lang w:val="en-US" w:eastAsia="zh-CN"/>
              </w:rPr>
              <w:t>建设内容</w:t>
            </w:r>
          </w:p>
        </w:tc>
        <w:tc>
          <w:tcPr>
            <w:tcW w:w="4350" w:type="dxa"/>
          </w:tcPr>
          <w:p>
            <w:pPr>
              <w:jc w:val="center"/>
              <w:rPr>
                <w:rFonts w:hint="default"/>
                <w:sz w:val="24"/>
                <w:szCs w:val="24"/>
                <w:vertAlign w:val="baseline"/>
                <w:lang w:val="en-US" w:eastAsia="zh-CN"/>
              </w:rPr>
            </w:pPr>
            <w:r>
              <w:rPr>
                <w:rFonts w:hint="eastAsia"/>
                <w:sz w:val="24"/>
                <w:szCs w:val="24"/>
                <w:vertAlign w:val="baseline"/>
                <w:lang w:val="en-US" w:eastAsia="zh-CN"/>
              </w:rPr>
              <w:t>主要性能参数</w:t>
            </w:r>
          </w:p>
        </w:tc>
        <w:tc>
          <w:tcPr>
            <w:tcW w:w="958" w:type="dxa"/>
          </w:tcPr>
          <w:p>
            <w:pPr>
              <w:jc w:val="center"/>
              <w:rPr>
                <w:rFonts w:hint="default"/>
                <w:sz w:val="24"/>
                <w:szCs w:val="24"/>
                <w:vertAlign w:val="baseline"/>
                <w:lang w:val="en-US" w:eastAsia="zh-CN"/>
              </w:rPr>
            </w:pPr>
            <w:r>
              <w:rPr>
                <w:rFonts w:hint="eastAsia"/>
                <w:sz w:val="24"/>
                <w:szCs w:val="24"/>
                <w:vertAlign w:val="baseline"/>
                <w:lang w:val="en-US" w:eastAsia="zh-CN"/>
              </w:rPr>
              <w:t>数量</w:t>
            </w:r>
          </w:p>
        </w:tc>
        <w:tc>
          <w:tcPr>
            <w:tcW w:w="892" w:type="dxa"/>
          </w:tcPr>
          <w:p>
            <w:pPr>
              <w:jc w:val="center"/>
              <w:rPr>
                <w:rFonts w:hint="default"/>
                <w:sz w:val="24"/>
                <w:szCs w:val="24"/>
                <w:vertAlign w:val="baseline"/>
                <w:lang w:val="en-US" w:eastAsia="zh-CN"/>
              </w:rPr>
            </w:pPr>
            <w:r>
              <w:rPr>
                <w:rFonts w:hint="eastAsia"/>
                <w:sz w:val="24"/>
                <w:szCs w:val="24"/>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jc w:val="both"/>
              <w:rPr>
                <w:rFonts w:hint="eastAsia"/>
                <w:sz w:val="24"/>
                <w:szCs w:val="24"/>
                <w:vertAlign w:val="baseline"/>
                <w:lang w:val="en-US" w:eastAsia="zh-CN"/>
              </w:rPr>
            </w:pPr>
          </w:p>
          <w:p>
            <w:pPr>
              <w:jc w:val="both"/>
              <w:rPr>
                <w:rFonts w:hint="eastAsia"/>
                <w:sz w:val="24"/>
                <w:szCs w:val="24"/>
                <w:vertAlign w:val="baseline"/>
                <w:lang w:val="en-US" w:eastAsia="zh-CN"/>
              </w:rPr>
            </w:pPr>
          </w:p>
          <w:p>
            <w:pPr>
              <w:jc w:val="both"/>
              <w:rPr>
                <w:rFonts w:hint="eastAsia"/>
                <w:sz w:val="24"/>
                <w:szCs w:val="24"/>
                <w:vertAlign w:val="baseline"/>
                <w:lang w:val="en-US" w:eastAsia="zh-CN"/>
              </w:rPr>
            </w:pPr>
          </w:p>
          <w:p>
            <w:pPr>
              <w:jc w:val="both"/>
              <w:rPr>
                <w:rFonts w:hint="eastAsia"/>
                <w:sz w:val="24"/>
                <w:szCs w:val="24"/>
                <w:vertAlign w:val="baseline"/>
                <w:lang w:val="en-US" w:eastAsia="zh-CN"/>
              </w:rPr>
            </w:pPr>
          </w:p>
          <w:p>
            <w:pPr>
              <w:jc w:val="both"/>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default"/>
                <w:sz w:val="24"/>
                <w:szCs w:val="24"/>
                <w:vertAlign w:val="baseline"/>
                <w:lang w:val="en-US" w:eastAsia="zh-CN"/>
              </w:rPr>
            </w:pPr>
            <w:r>
              <w:rPr>
                <w:rFonts w:hint="eastAsia"/>
                <w:sz w:val="24"/>
                <w:szCs w:val="24"/>
                <w:vertAlign w:val="baseline"/>
                <w:lang w:val="en-US" w:eastAsia="zh-CN"/>
              </w:rPr>
              <w:t>1</w:t>
            </w:r>
          </w:p>
        </w:tc>
        <w:tc>
          <w:tcPr>
            <w:tcW w:w="1485" w:type="dxa"/>
          </w:tcPr>
          <w:p>
            <w:pPr>
              <w:jc w:val="both"/>
              <w:rPr>
                <w:rFonts w:hint="default"/>
                <w:sz w:val="24"/>
                <w:szCs w:val="24"/>
                <w:vertAlign w:val="baseline"/>
                <w:lang w:val="en-US" w:eastAsia="zh-CN"/>
              </w:rPr>
            </w:pPr>
          </w:p>
          <w:p>
            <w:pPr>
              <w:jc w:val="both"/>
              <w:rPr>
                <w:rFonts w:hint="default"/>
                <w:sz w:val="24"/>
                <w:szCs w:val="24"/>
                <w:vertAlign w:val="baseline"/>
                <w:lang w:val="en-US" w:eastAsia="zh-CN"/>
              </w:rPr>
            </w:pPr>
          </w:p>
          <w:p>
            <w:pPr>
              <w:jc w:val="both"/>
              <w:rPr>
                <w:rFonts w:hint="eastAsia"/>
                <w:sz w:val="24"/>
                <w:szCs w:val="24"/>
                <w:lang w:val="en-US" w:eastAsia="zh-CN"/>
              </w:rPr>
            </w:pPr>
          </w:p>
          <w:p>
            <w:pPr>
              <w:jc w:val="both"/>
              <w:rPr>
                <w:rFonts w:hint="eastAsia"/>
                <w:sz w:val="24"/>
                <w:szCs w:val="24"/>
                <w:lang w:val="en-US" w:eastAsia="zh-CN"/>
              </w:rPr>
            </w:pPr>
          </w:p>
          <w:p>
            <w:pPr>
              <w:jc w:val="both"/>
              <w:rPr>
                <w:rFonts w:hint="eastAsia"/>
                <w:sz w:val="24"/>
                <w:szCs w:val="24"/>
                <w:lang w:val="en-US" w:eastAsia="zh-CN"/>
              </w:rPr>
            </w:pPr>
          </w:p>
          <w:p>
            <w:pPr>
              <w:jc w:val="both"/>
              <w:rPr>
                <w:rFonts w:hint="eastAsia"/>
                <w:sz w:val="24"/>
                <w:szCs w:val="24"/>
                <w:lang w:val="en-US" w:eastAsia="zh-CN"/>
              </w:rPr>
            </w:pPr>
          </w:p>
          <w:p>
            <w:pPr>
              <w:jc w:val="both"/>
              <w:rPr>
                <w:rFonts w:hint="eastAsia"/>
                <w:sz w:val="24"/>
                <w:szCs w:val="24"/>
                <w:lang w:val="en-US" w:eastAsia="zh-CN"/>
              </w:rPr>
            </w:pPr>
          </w:p>
          <w:p>
            <w:pPr>
              <w:jc w:val="both"/>
              <w:rPr>
                <w:rFonts w:hint="eastAsia"/>
                <w:sz w:val="24"/>
                <w:szCs w:val="24"/>
                <w:lang w:val="en-US" w:eastAsia="zh-CN"/>
              </w:rPr>
            </w:pPr>
          </w:p>
          <w:p>
            <w:pPr>
              <w:jc w:val="both"/>
              <w:rPr>
                <w:rFonts w:hint="eastAsia"/>
                <w:sz w:val="24"/>
                <w:szCs w:val="24"/>
                <w:lang w:val="en-US" w:eastAsia="zh-CN"/>
              </w:rPr>
            </w:pPr>
          </w:p>
          <w:p>
            <w:pPr>
              <w:jc w:val="both"/>
              <w:rPr>
                <w:rFonts w:hint="eastAsia"/>
                <w:sz w:val="24"/>
                <w:szCs w:val="24"/>
                <w:lang w:val="en-US" w:eastAsia="zh-CN"/>
              </w:rPr>
            </w:pPr>
          </w:p>
          <w:p>
            <w:pPr>
              <w:jc w:val="both"/>
              <w:rPr>
                <w:rFonts w:hint="eastAsia"/>
                <w:sz w:val="24"/>
                <w:szCs w:val="24"/>
                <w:lang w:val="en-US" w:eastAsia="zh-CN"/>
              </w:rPr>
            </w:pPr>
          </w:p>
          <w:p>
            <w:pPr>
              <w:jc w:val="both"/>
              <w:rPr>
                <w:rFonts w:hint="default"/>
                <w:sz w:val="24"/>
                <w:szCs w:val="24"/>
                <w:vertAlign w:val="baseline"/>
                <w:lang w:val="en-US" w:eastAsia="zh-CN"/>
              </w:rPr>
            </w:pPr>
          </w:p>
        </w:tc>
        <w:tc>
          <w:tcPr>
            <w:tcW w:w="4350" w:type="dxa"/>
          </w:tcPr>
          <w:p>
            <w:pPr>
              <w:pStyle w:val="3"/>
              <w:numPr>
                <w:ilvl w:val="0"/>
                <w:numId w:val="0"/>
              </w:numPr>
              <w:ind w:leftChars="0"/>
              <w:jc w:val="left"/>
              <w:rPr>
                <w:rFonts w:hint="default"/>
                <w:sz w:val="24"/>
                <w:szCs w:val="24"/>
                <w:vertAlign w:val="baseline"/>
                <w:lang w:val="en-US" w:eastAsia="zh-CN"/>
              </w:rPr>
            </w:pPr>
            <w:r>
              <w:rPr>
                <w:rFonts w:hint="eastAsia"/>
                <w:sz w:val="24"/>
                <w:szCs w:val="24"/>
                <w:vertAlign w:val="baseline"/>
                <w:lang w:val="en-US" w:eastAsia="zh-CN"/>
              </w:rPr>
              <w:t>1.</w:t>
            </w:r>
            <w:r>
              <w:rPr>
                <w:rFonts w:hint="default"/>
                <w:sz w:val="24"/>
                <w:szCs w:val="24"/>
                <w:vertAlign w:val="baseline"/>
                <w:lang w:val="en-US" w:eastAsia="zh-CN"/>
              </w:rPr>
              <w:t>按照教育部《职业教育专业教学资源库建设指南》和《河南省教育厅办公室关于开展2025年省级职业教育专业教学资源库立项申报和2020、2021年省级职业教育专业教学资源库评审验收工作的通知》</w:t>
            </w:r>
            <w:r>
              <w:rPr>
                <w:rFonts w:hint="eastAsia"/>
                <w:sz w:val="24"/>
                <w:szCs w:val="24"/>
                <w:vertAlign w:val="baseline"/>
                <w:lang w:val="en-US" w:eastAsia="zh-CN"/>
              </w:rPr>
              <w:t>的</w:t>
            </w:r>
            <w:r>
              <w:rPr>
                <w:rFonts w:hint="default"/>
                <w:sz w:val="24"/>
                <w:szCs w:val="24"/>
                <w:vertAlign w:val="baseline"/>
                <w:lang w:val="en-US" w:eastAsia="zh-CN"/>
              </w:rPr>
              <w:t>有关要求，</w:t>
            </w:r>
            <w:r>
              <w:rPr>
                <w:rFonts w:hint="eastAsia"/>
                <w:sz w:val="24"/>
                <w:szCs w:val="24"/>
                <w:vertAlign w:val="baseline"/>
                <w:lang w:val="en-US" w:eastAsia="zh-CN"/>
              </w:rPr>
              <w:t>通过线上线下活动，对</w:t>
            </w:r>
            <w:r>
              <w:rPr>
                <w:rFonts w:hint="default"/>
                <w:sz w:val="24"/>
                <w:szCs w:val="24"/>
                <w:vertAlign w:val="baseline"/>
                <w:lang w:val="en-US" w:eastAsia="zh-CN"/>
              </w:rPr>
              <w:t>教师、学生、企业</w:t>
            </w:r>
            <w:r>
              <w:rPr>
                <w:rFonts w:hint="eastAsia"/>
                <w:sz w:val="24"/>
                <w:szCs w:val="24"/>
                <w:vertAlign w:val="baseline"/>
                <w:lang w:val="en-US" w:eastAsia="zh-CN"/>
              </w:rPr>
              <w:t>员工及社会学习者四类人群进行精准推送，使</w:t>
            </w:r>
            <w:r>
              <w:rPr>
                <w:rFonts w:hint="default"/>
                <w:sz w:val="24"/>
                <w:szCs w:val="24"/>
                <w:vertAlign w:val="baseline"/>
                <w:lang w:val="en-US" w:eastAsia="zh-CN"/>
              </w:rPr>
              <w:t>资源库使用活跃率、用户数量、资源</w:t>
            </w:r>
            <w:r>
              <w:rPr>
                <w:rFonts w:hint="eastAsia"/>
                <w:sz w:val="24"/>
                <w:szCs w:val="24"/>
                <w:vertAlign w:val="baseline"/>
                <w:lang w:val="en-US" w:eastAsia="zh-CN"/>
              </w:rPr>
              <w:t>应用</w:t>
            </w:r>
            <w:r>
              <w:rPr>
                <w:rFonts w:hint="default"/>
                <w:sz w:val="24"/>
                <w:szCs w:val="24"/>
                <w:vertAlign w:val="baseline"/>
                <w:lang w:val="en-US" w:eastAsia="zh-CN"/>
              </w:rPr>
              <w:t>等验收评议指标</w:t>
            </w:r>
            <w:r>
              <w:rPr>
                <w:rFonts w:hint="eastAsia"/>
                <w:sz w:val="24"/>
                <w:szCs w:val="24"/>
                <w:vertAlign w:val="baseline"/>
                <w:lang w:val="en-US" w:eastAsia="zh-CN"/>
              </w:rPr>
              <w:t>有所提升</w:t>
            </w:r>
            <w:r>
              <w:rPr>
                <w:rFonts w:hint="default"/>
                <w:sz w:val="24"/>
                <w:szCs w:val="24"/>
                <w:vertAlign w:val="baseline"/>
                <w:lang w:val="en-US" w:eastAsia="zh-CN"/>
              </w:rPr>
              <w:t>，</w:t>
            </w:r>
            <w:r>
              <w:rPr>
                <w:rFonts w:hint="eastAsia"/>
                <w:sz w:val="24"/>
                <w:szCs w:val="24"/>
                <w:vertAlign w:val="baseline"/>
                <w:lang w:val="en-US" w:eastAsia="zh-CN"/>
              </w:rPr>
              <w:t>并逐步扩大</w:t>
            </w:r>
            <w:r>
              <w:rPr>
                <w:rFonts w:hint="default"/>
                <w:sz w:val="24"/>
                <w:szCs w:val="24"/>
                <w:vertAlign w:val="baseline"/>
                <w:lang w:val="en-US" w:eastAsia="zh-CN"/>
              </w:rPr>
              <w:t>资源库</w:t>
            </w:r>
            <w:r>
              <w:rPr>
                <w:rFonts w:hint="eastAsia"/>
                <w:sz w:val="24"/>
                <w:szCs w:val="24"/>
                <w:vertAlign w:val="baseline"/>
                <w:lang w:val="en-US" w:eastAsia="zh-CN"/>
              </w:rPr>
              <w:t>的行业</w:t>
            </w:r>
            <w:r>
              <w:rPr>
                <w:rFonts w:hint="default"/>
                <w:sz w:val="24"/>
                <w:szCs w:val="24"/>
                <w:vertAlign w:val="baseline"/>
                <w:lang w:val="en-US" w:eastAsia="zh-CN"/>
              </w:rPr>
              <w:t>覆盖面</w:t>
            </w:r>
            <w:r>
              <w:rPr>
                <w:rFonts w:hint="eastAsia"/>
                <w:sz w:val="24"/>
                <w:szCs w:val="24"/>
                <w:vertAlign w:val="baseline"/>
                <w:lang w:val="en-US" w:eastAsia="zh-CN"/>
              </w:rPr>
              <w:t>和专业</w:t>
            </w:r>
            <w:r>
              <w:rPr>
                <w:rFonts w:hint="default"/>
                <w:sz w:val="24"/>
                <w:szCs w:val="24"/>
                <w:vertAlign w:val="baseline"/>
                <w:lang w:val="en-US" w:eastAsia="zh-CN"/>
              </w:rPr>
              <w:t>影响力。</w:t>
            </w:r>
          </w:p>
          <w:p>
            <w:pPr>
              <w:numPr>
                <w:ilvl w:val="0"/>
                <w:numId w:val="0"/>
              </w:numPr>
              <w:ind w:leftChars="0"/>
              <w:rPr>
                <w:rFonts w:hint="default"/>
                <w:sz w:val="24"/>
                <w:szCs w:val="24"/>
                <w:lang w:val="en-US" w:eastAsia="zh-CN"/>
              </w:rPr>
            </w:pPr>
            <w:r>
              <w:rPr>
                <w:rFonts w:hint="eastAsia"/>
                <w:sz w:val="24"/>
                <w:szCs w:val="24"/>
                <w:lang w:val="en-US" w:eastAsia="zh-CN"/>
              </w:rPr>
              <w:t>2.</w:t>
            </w:r>
            <w:r>
              <w:rPr>
                <w:rFonts w:hint="default"/>
                <w:sz w:val="24"/>
                <w:szCs w:val="24"/>
                <w:lang w:val="en-US" w:eastAsia="zh-CN"/>
              </w:rPr>
              <w:t>对资源库门户网站各个模块</w:t>
            </w:r>
            <w:r>
              <w:rPr>
                <w:rFonts w:hint="eastAsia"/>
                <w:sz w:val="24"/>
                <w:szCs w:val="24"/>
                <w:lang w:val="en-US" w:eastAsia="zh-CN"/>
              </w:rPr>
              <w:t>进行推广</w:t>
            </w:r>
            <w:r>
              <w:rPr>
                <w:rFonts w:hint="default"/>
                <w:sz w:val="24"/>
                <w:szCs w:val="24"/>
                <w:lang w:val="en-US" w:eastAsia="zh-CN"/>
              </w:rPr>
              <w:t>，包括</w:t>
            </w:r>
            <w:r>
              <w:rPr>
                <w:rFonts w:hint="eastAsia"/>
                <w:sz w:val="24"/>
                <w:szCs w:val="24"/>
                <w:lang w:val="en-US" w:eastAsia="zh-CN"/>
              </w:rPr>
              <w:t>资源库门户的</w:t>
            </w:r>
            <w:r>
              <w:rPr>
                <w:rFonts w:hint="default"/>
                <w:sz w:val="24"/>
                <w:szCs w:val="24"/>
                <w:lang w:val="en-US" w:eastAsia="zh-CN"/>
              </w:rPr>
              <w:t>专业园地、课程中心、素材中心、技能训练、虚拟仿真等5</w:t>
            </w:r>
            <w:r>
              <w:rPr>
                <w:rFonts w:hint="eastAsia"/>
                <w:sz w:val="24"/>
                <w:szCs w:val="24"/>
                <w:lang w:val="en-US" w:eastAsia="zh-CN"/>
              </w:rPr>
              <w:t>个模块</w:t>
            </w:r>
            <w:r>
              <w:rPr>
                <w:rFonts w:hint="default"/>
                <w:sz w:val="24"/>
                <w:szCs w:val="24"/>
                <w:lang w:val="en-US" w:eastAsia="zh-CN"/>
              </w:rPr>
              <w:t>，在不少于10所院校及企业进行推广应用提升，资源库四类用户应用推广目标新增不少于4000人，其中学生用户推广目标不少于</w:t>
            </w:r>
            <w:r>
              <w:rPr>
                <w:rFonts w:hint="eastAsia"/>
                <w:sz w:val="24"/>
                <w:szCs w:val="24"/>
                <w:lang w:val="en-US" w:eastAsia="zh-CN"/>
              </w:rPr>
              <w:t>23</w:t>
            </w:r>
            <w:r>
              <w:rPr>
                <w:rFonts w:hint="default"/>
                <w:sz w:val="24"/>
                <w:szCs w:val="24"/>
                <w:lang w:val="en-US" w:eastAsia="zh-CN"/>
              </w:rPr>
              <w:t>00，企业用户新增不少于</w:t>
            </w:r>
            <w:r>
              <w:rPr>
                <w:rFonts w:hint="eastAsia"/>
                <w:sz w:val="24"/>
                <w:szCs w:val="24"/>
                <w:lang w:val="en-US" w:eastAsia="zh-CN"/>
              </w:rPr>
              <w:t>9</w:t>
            </w:r>
            <w:r>
              <w:rPr>
                <w:rFonts w:hint="default"/>
                <w:sz w:val="24"/>
                <w:szCs w:val="24"/>
                <w:lang w:val="en-US" w:eastAsia="zh-CN"/>
              </w:rPr>
              <w:t>00，社会用户新增不少于</w:t>
            </w:r>
            <w:r>
              <w:rPr>
                <w:rFonts w:hint="eastAsia"/>
                <w:sz w:val="24"/>
                <w:szCs w:val="24"/>
                <w:lang w:val="en-US" w:eastAsia="zh-CN"/>
              </w:rPr>
              <w:t>8</w:t>
            </w:r>
            <w:r>
              <w:rPr>
                <w:rFonts w:hint="default"/>
                <w:sz w:val="24"/>
                <w:szCs w:val="24"/>
                <w:lang w:val="en-US" w:eastAsia="zh-CN"/>
              </w:rPr>
              <w:t>00。</w:t>
            </w:r>
            <w:r>
              <w:rPr>
                <w:rFonts w:hint="default"/>
                <w:sz w:val="24"/>
                <w:szCs w:val="24"/>
                <w:lang w:val="en-US" w:eastAsia="zh-CN"/>
              </w:rPr>
              <w:br w:type="textWrapping"/>
            </w:r>
            <w:r>
              <w:rPr>
                <w:rFonts w:hint="eastAsia"/>
                <w:sz w:val="24"/>
                <w:szCs w:val="24"/>
                <w:lang w:val="en-US" w:eastAsia="zh-CN"/>
              </w:rPr>
              <w:t>3.对资源库的课程分期数据进行更新，要求课程开设时间科学，合理，符合日常教学习惯，每门课程开设周期不得少于2个周期，总课程开设周期不得少于30个周期。</w:t>
            </w:r>
          </w:p>
          <w:p>
            <w:pPr>
              <w:numPr>
                <w:ilvl w:val="0"/>
                <w:numId w:val="0"/>
              </w:numPr>
              <w:ind w:leftChars="0"/>
              <w:rPr>
                <w:rFonts w:hint="default"/>
                <w:sz w:val="24"/>
                <w:szCs w:val="24"/>
                <w:lang w:val="en-US" w:eastAsia="zh-CN"/>
              </w:rPr>
            </w:pPr>
            <w:r>
              <w:rPr>
                <w:rFonts w:hint="eastAsia"/>
                <w:sz w:val="24"/>
                <w:szCs w:val="24"/>
                <w:lang w:val="en-US" w:eastAsia="zh-CN"/>
              </w:rPr>
              <w:t>4.对资源库8门核心课程进行应用推广。要求在参建单位和行业内对资源库的核心课程进行推广。支持学习人员按照具体课程内容进行学习，学习内容包含课程视频资源，PPT，作业，测试，考试等内容；要求学习人数学习包含课前、课中、课后等学习内容，学习习惯符合教学规律，符合省级专业教学资源库验收要求。</w:t>
            </w:r>
          </w:p>
        </w:tc>
        <w:tc>
          <w:tcPr>
            <w:tcW w:w="958" w:type="dxa"/>
          </w:tcPr>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default"/>
                <w:sz w:val="24"/>
                <w:szCs w:val="24"/>
                <w:vertAlign w:val="baseline"/>
                <w:lang w:val="en-US" w:eastAsia="zh-CN"/>
              </w:rPr>
            </w:pPr>
            <w:r>
              <w:rPr>
                <w:rFonts w:hint="eastAsia"/>
                <w:sz w:val="24"/>
                <w:szCs w:val="24"/>
                <w:vertAlign w:val="baseline"/>
                <w:lang w:val="en-US" w:eastAsia="zh-CN"/>
              </w:rPr>
              <w:t>1</w:t>
            </w:r>
          </w:p>
        </w:tc>
        <w:tc>
          <w:tcPr>
            <w:tcW w:w="892" w:type="dxa"/>
          </w:tcPr>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default"/>
                <w:sz w:val="24"/>
                <w:szCs w:val="24"/>
                <w:vertAlign w:val="baseline"/>
                <w:lang w:val="en-US" w:eastAsia="zh-CN"/>
              </w:rPr>
            </w:pPr>
            <w:r>
              <w:rPr>
                <w:rFonts w:hint="eastAsia"/>
                <w:sz w:val="24"/>
                <w:szCs w:val="24"/>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default"/>
                <w:sz w:val="24"/>
                <w:szCs w:val="24"/>
                <w:vertAlign w:val="baseline"/>
                <w:lang w:val="en-US" w:eastAsia="zh-CN"/>
              </w:rPr>
            </w:pPr>
            <w:r>
              <w:rPr>
                <w:rFonts w:hint="eastAsia"/>
                <w:sz w:val="24"/>
                <w:szCs w:val="24"/>
                <w:vertAlign w:val="baseline"/>
                <w:lang w:val="en-US" w:eastAsia="zh-CN"/>
              </w:rPr>
              <w:t>2</w:t>
            </w:r>
          </w:p>
        </w:tc>
        <w:tc>
          <w:tcPr>
            <w:tcW w:w="1485" w:type="dxa"/>
          </w:tcPr>
          <w:p>
            <w:pPr>
              <w:jc w:val="both"/>
              <w:rPr>
                <w:rFonts w:hint="eastAsia"/>
                <w:sz w:val="24"/>
                <w:szCs w:val="24"/>
                <w:vertAlign w:val="baseline"/>
                <w:lang w:val="en-US" w:eastAsia="zh-CN"/>
              </w:rPr>
            </w:pPr>
          </w:p>
          <w:p>
            <w:pPr>
              <w:jc w:val="both"/>
              <w:rPr>
                <w:rFonts w:hint="eastAsia"/>
                <w:sz w:val="24"/>
                <w:szCs w:val="24"/>
                <w:vertAlign w:val="baseline"/>
                <w:lang w:val="en-US" w:eastAsia="zh-CN"/>
              </w:rPr>
            </w:pPr>
          </w:p>
          <w:p>
            <w:pPr>
              <w:jc w:val="both"/>
              <w:rPr>
                <w:rFonts w:hint="eastAsia"/>
                <w:sz w:val="24"/>
                <w:szCs w:val="24"/>
                <w:vertAlign w:val="baseline"/>
                <w:lang w:val="en-US" w:eastAsia="zh-CN"/>
              </w:rPr>
            </w:pPr>
          </w:p>
          <w:p>
            <w:pPr>
              <w:jc w:val="both"/>
              <w:rPr>
                <w:rFonts w:hint="default"/>
                <w:sz w:val="24"/>
                <w:szCs w:val="24"/>
                <w:vertAlign w:val="baseline"/>
                <w:lang w:val="en-US" w:eastAsia="zh-CN"/>
              </w:rPr>
            </w:pPr>
            <w:r>
              <w:rPr>
                <w:rFonts w:hint="eastAsia"/>
                <w:sz w:val="24"/>
                <w:szCs w:val="24"/>
                <w:vertAlign w:val="baseline"/>
                <w:lang w:val="en-US" w:eastAsia="zh-CN"/>
              </w:rPr>
              <w:t>资源库运行服务</w:t>
            </w:r>
          </w:p>
        </w:tc>
        <w:tc>
          <w:tcPr>
            <w:tcW w:w="4350" w:type="dxa"/>
          </w:tcPr>
          <w:p>
            <w:pPr>
              <w:numPr>
                <w:ilvl w:val="0"/>
                <w:numId w:val="0"/>
              </w:numPr>
              <w:ind w:leftChars="0"/>
              <w:rPr>
                <w:rFonts w:hint="default"/>
                <w:sz w:val="24"/>
                <w:szCs w:val="24"/>
                <w:lang w:val="en-US" w:eastAsia="zh-CN"/>
              </w:rPr>
            </w:pPr>
            <w:r>
              <w:rPr>
                <w:rFonts w:hint="eastAsia"/>
                <w:sz w:val="24"/>
                <w:szCs w:val="24"/>
                <w:lang w:val="en-US" w:eastAsia="zh-CN"/>
              </w:rPr>
              <w:t>1.</w:t>
            </w:r>
            <w:r>
              <w:rPr>
                <w:rFonts w:hint="default"/>
                <w:sz w:val="24"/>
                <w:szCs w:val="24"/>
                <w:lang w:val="en-US" w:eastAsia="zh-CN"/>
              </w:rPr>
              <w:t>要求提供铁道信号自动控制专业资源库运行服务。围绕资源库建设过程中的门户优化，课程设计优化，资源的多维度组织上线，联建院校和参建院校及参建课程的服务引导等方面提供一系列技术支持服务，以满足资源库的后续建设和持续提升。</w:t>
            </w:r>
          </w:p>
        </w:tc>
        <w:tc>
          <w:tcPr>
            <w:tcW w:w="958" w:type="dxa"/>
          </w:tcPr>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default"/>
                <w:sz w:val="24"/>
                <w:szCs w:val="24"/>
                <w:vertAlign w:val="baseline"/>
                <w:lang w:val="en-US" w:eastAsia="zh-CN"/>
              </w:rPr>
            </w:pPr>
            <w:r>
              <w:rPr>
                <w:rFonts w:hint="eastAsia"/>
                <w:sz w:val="24"/>
                <w:szCs w:val="24"/>
                <w:vertAlign w:val="baseline"/>
                <w:lang w:val="en-US" w:eastAsia="zh-CN"/>
              </w:rPr>
              <w:t>1</w:t>
            </w:r>
          </w:p>
        </w:tc>
        <w:tc>
          <w:tcPr>
            <w:tcW w:w="892" w:type="dxa"/>
          </w:tcPr>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default"/>
                <w:sz w:val="24"/>
                <w:szCs w:val="24"/>
                <w:vertAlign w:val="baseline"/>
                <w:lang w:val="en-US" w:eastAsia="zh-CN"/>
              </w:rPr>
            </w:pPr>
            <w:r>
              <w:rPr>
                <w:rFonts w:hint="eastAsia"/>
                <w:sz w:val="24"/>
                <w:szCs w:val="24"/>
                <w:vertAlign w:val="baseline"/>
                <w:lang w:val="en-US" w:eastAsia="zh-CN"/>
              </w:rPr>
              <w:t>套</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kern w:val="0"/>
          <w:sz w:val="28"/>
          <w:szCs w:val="28"/>
          <w:lang w:val="en-US" w:eastAsia="zh-CN"/>
        </w:rPr>
      </w:pPr>
      <w:r>
        <w:rPr>
          <w:rFonts w:hint="eastAsia"/>
          <w:sz w:val="24"/>
          <w:szCs w:val="24"/>
          <w:lang w:val="en-US" w:eastAsia="zh-CN"/>
        </w:rPr>
        <w:t>要求在</w:t>
      </w:r>
      <w:r>
        <w:rPr>
          <w:rFonts w:hint="default"/>
          <w:sz w:val="24"/>
          <w:szCs w:val="24"/>
          <w:lang w:val="en-US" w:eastAsia="zh-CN"/>
        </w:rPr>
        <w:t>约定的时间内完成以上资源库的应用提升，并达到所要求的的目标；具有相关职业教育专业教学资源库应用推广经验者优先。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kern w:val="0"/>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altName w:val="汉仪仿宋KW"/>
    <w:panose1 w:val="02010609030101010101"/>
    <w:charset w:val="86"/>
    <w:family w:val="auto"/>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6240C3"/>
    <w:multiLevelType w:val="singleLevel"/>
    <w:tmpl w:val="616240C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3YjE0YjNiNWM5NzRjNmM5NmQ4NWUwYjVlN2NjMjIifQ=="/>
  </w:docVars>
  <w:rsids>
    <w:rsidRoot w:val="47B70BF4"/>
    <w:rsid w:val="04A85F98"/>
    <w:rsid w:val="056B77C2"/>
    <w:rsid w:val="068A277B"/>
    <w:rsid w:val="072C5387"/>
    <w:rsid w:val="147F3239"/>
    <w:rsid w:val="1732013F"/>
    <w:rsid w:val="18003EEE"/>
    <w:rsid w:val="182C0D43"/>
    <w:rsid w:val="1EA0550A"/>
    <w:rsid w:val="26C568DA"/>
    <w:rsid w:val="279C7864"/>
    <w:rsid w:val="27A26C1B"/>
    <w:rsid w:val="3823494A"/>
    <w:rsid w:val="4000052B"/>
    <w:rsid w:val="42A4165A"/>
    <w:rsid w:val="42B86E9B"/>
    <w:rsid w:val="438356FB"/>
    <w:rsid w:val="43A96511"/>
    <w:rsid w:val="45061F3F"/>
    <w:rsid w:val="47045850"/>
    <w:rsid w:val="47B70BF4"/>
    <w:rsid w:val="481B3DB7"/>
    <w:rsid w:val="48401E0D"/>
    <w:rsid w:val="49370303"/>
    <w:rsid w:val="50AA5AE5"/>
    <w:rsid w:val="517843C5"/>
    <w:rsid w:val="52AD62F0"/>
    <w:rsid w:val="584C5E02"/>
    <w:rsid w:val="5B334EDF"/>
    <w:rsid w:val="5CE24DE9"/>
    <w:rsid w:val="5D8A16C0"/>
    <w:rsid w:val="668D7DD6"/>
    <w:rsid w:val="669C06FE"/>
    <w:rsid w:val="70FD57A1"/>
    <w:rsid w:val="73216213"/>
    <w:rsid w:val="742A7349"/>
    <w:rsid w:val="75F00342"/>
    <w:rsid w:val="77EF2BE7"/>
    <w:rsid w:val="7D2930E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able of figures"/>
    <w:basedOn w:val="1"/>
    <w:next w:val="1"/>
    <w:qFormat/>
    <w:uiPriority w:val="0"/>
    <w:pPr>
      <w:ind w:left="200" w:leftChars="200" w:hanging="200" w:hangingChars="2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668</Words>
  <Characters>689</Characters>
  <Lines>0</Lines>
  <Paragraphs>0</Paragraphs>
  <TotalTime>14</TotalTime>
  <ScaleCrop>false</ScaleCrop>
  <LinksUpToDate>false</LinksUpToDate>
  <CharactersWithSpaces>689</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2022-09-07T14:46:00Z</dcterms:created>
  <dc:creator>Administrator</dc:creator>
  <cp:lastModifiedBy>朱锐</cp:lastModifiedBy>
  <cp:lastPrinted>2024-11-11T09:52:00Z</cp:lastPrinted>
  <dcterms:modified xsi:type="dcterms:W3CDTF">2025-09-08T17:54:22Z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04161EEE22DA4435AD781851EE0000EC_13</vt:lpwstr>
  </property>
  <property fmtid="{D5CDD505-2E9C-101B-9397-08002B2CF9AE}" pid="4" name="KSOTemplateDocerSaveRecord">
    <vt:lpwstr>eyJoZGlkIjoiOWM3YjE0YjNiNWM5NzRjNmM5NmQ4NWUwYjVlN2NjMjIiLCJ1c2VySWQiOiI0NTU2MTM5OTQifQ==</vt:lpwstr>
  </property>
</Properties>
</file>